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26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2115"/>
        <w:gridCol w:w="3420"/>
        <w:gridCol w:w="5055"/>
        <w:tblGridChange w:id="0">
          <w:tblGrid>
            <w:gridCol w:w="2115"/>
            <w:gridCol w:w="3420"/>
            <w:gridCol w:w="5055"/>
          </w:tblGrid>
        </w:tblGridChange>
      </w:tblGrid>
      <w:t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666666" w:space="0" w:sz="6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Muli" w:cs="Muli" w:eastAsia="Muli" w:hAnsi="Muli"/>
                <w:b w:val="0"/>
                <w:sz w:val="28"/>
                <w:szCs w:val="28"/>
              </w:rPr>
            </w:pPr>
            <w:bookmarkStart w:colFirst="0" w:colLast="0" w:name="_wk01laq4vx7k" w:id="0"/>
            <w:bookmarkEnd w:id="0"/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8"/>
                <w:szCs w:val="28"/>
                <w:rtl w:val="0"/>
              </w:rPr>
              <w:t xml:space="preserve">201</w:t>
            </w:r>
            <w:r w:rsidDel="00000000" w:rsidR="00000000" w:rsidRPr="00000000">
              <w:rPr>
                <w:rFonts w:ascii="Muli" w:cs="Muli" w:eastAsia="Muli" w:hAnsi="Muli"/>
                <w:b w:val="0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8"/>
                <w:szCs w:val="28"/>
                <w:rtl w:val="0"/>
              </w:rPr>
              <w:t xml:space="preserve"> ELA Pacing Guide, Kindergarten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1c1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1c1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1c18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rtl w:val="0"/>
              </w:rPr>
              <w:t xml:space="preserve">Use weekly and monthly thematic units to introduce and develop skills in Listening &amp; Speaking, Reading &amp; Writing.  Early childhood themes (e.g. animals, weather, holidays, family, etc.) provide natural context for vocabulary development which leads to reading and writing development.</w:t>
            </w:r>
          </w:p>
          <w:p w:rsidR="00000000" w:rsidDel="00000000" w:rsidP="00000000" w:rsidRDefault="00000000" w:rsidRPr="00000000" w14:paraId="00000009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rtl w:val="0"/>
              </w:rPr>
              <w:t xml:space="preserve">Suggested time frames for introducing skills are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8/28-9/8/17</w:t>
            </w:r>
          </w:p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Week of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Orientation Week, iReady Diagnostic,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Beginning of the Year Ass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essment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&amp; Learning Styles Identified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September/October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9/11-10/27/17</w:t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(7 Weeks)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K.1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K.2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.5 c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K.7, K.10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K.12-K.17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contextualSpacing w:val="0"/>
              <w:jc w:val="center"/>
              <w:rPr>
                <w:rFonts w:ascii="Muli" w:cs="Muli" w:eastAsia="Muli" w:hAnsi="Muli"/>
                <w:b w:val="1"/>
                <w:color w:val="000000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Reading </w:t>
            </w: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Focus: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000000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Literature units should be planned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for this 7 week time frame.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November/December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10/30-12/13/17</w:t>
            </w:r>
          </w:p>
          <w:p w:rsidR="00000000" w:rsidDel="00000000" w:rsidP="00000000" w:rsidRDefault="00000000" w:rsidRPr="00000000" w14:paraId="0000001F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(6 Weeks)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K.3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K.4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K.5 b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K.6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color w:val="4f6228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K.8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color w:val="4f6228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K.12-K.17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6" w:lineRule="auto"/>
              <w:contextualSpacing w:val="0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Reading </w:t>
            </w: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Focus: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000000"/>
                <w:rtl w:val="0"/>
              </w:rPr>
              <w:t xml:space="preserve"> Informative</w:t>
            </w:r>
            <w:r w:rsidDel="00000000" w:rsidR="00000000" w:rsidRPr="00000000">
              <w:fldChar w:fldCharType="begin"/>
              <w:instrText xml:space="preserve"> HYPERLINK "https://drive.google.com/open?id=0B7PZ4fPX9LVTMFhuMmQxdlliQXc"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Informational text units should be planned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for this 6 week time frame.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1/2-1/26/18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(4 Weeks)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C">
            <w:pPr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K.9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K.12-K.17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200" w:line="36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Focus: </w:t>
            </w:r>
            <w:r w:rsidDel="00000000" w:rsidR="00000000" w:rsidRPr="00000000">
              <w:rPr>
                <w:rFonts w:ascii="Muli" w:cs="Muli" w:eastAsia="Muli" w:hAnsi="Muli"/>
                <w:b w:val="1"/>
                <w:rtl w:val="0"/>
              </w:rPr>
              <w:t xml:space="preserve"> Vocabulary &amp; 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color w:val="00000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1/16-1/26/18 Mid-year Assessments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0"/>
                <w:szCs w:val="20"/>
                <w:rtl w:val="0"/>
              </w:rPr>
              <w:t xml:space="preserve">1/2</w:t>
            </w: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0"/>
                <w:szCs w:val="20"/>
                <w:rtl w:val="0"/>
              </w:rPr>
              <w:t xml:space="preserve">/1</w:t>
            </w: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Semester 1 Ends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February/March</w:t>
            </w:r>
          </w:p>
          <w:p w:rsidR="00000000" w:rsidDel="00000000" w:rsidP="00000000" w:rsidRDefault="00000000" w:rsidRPr="00000000" w14:paraId="00000034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1/29-3/23/18</w:t>
            </w:r>
          </w:p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(8 Weeks)</w:t>
            </w:r>
          </w:p>
          <w:p w:rsidR="00000000" w:rsidDel="00000000" w:rsidP="00000000" w:rsidRDefault="00000000" w:rsidRPr="00000000" w14:paraId="00000036">
            <w:pPr>
              <w:spacing w:after="200" w:before="200" w:line="276" w:lineRule="auto"/>
              <w:contextualSpacing w:val="0"/>
              <w:jc w:val="left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7">
            <w:pPr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K.5 a, K.7, K.8,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K.11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K.12-K.17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A">
            <w:pPr>
              <w:spacing w:before="200" w:line="360" w:lineRule="auto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Focus: </w:t>
            </w:r>
            <w:r w:rsidDel="00000000" w:rsidR="00000000" w:rsidRPr="00000000">
              <w:rPr>
                <w:rFonts w:ascii="Muli" w:cs="Muli" w:eastAsia="Muli" w:hAnsi="Muli"/>
                <w:b w:val="1"/>
                <w:rtl w:val="0"/>
              </w:rPr>
              <w:t xml:space="preserve"> Speaking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Speaking and Listening are the foci for these 8 weeks.  Including these concepts in both literature and informational text units would be ideal.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April/May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4/1-5/25/18</w:t>
            </w:r>
          </w:p>
          <w:p w:rsidR="00000000" w:rsidDel="00000000" w:rsidP="00000000" w:rsidRDefault="00000000" w:rsidRPr="00000000" w14:paraId="0000003E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(8 Weeks)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F">
            <w:pPr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K.12-K.17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41">
            <w:pPr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Continuation of building, applying, and presenting language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42">
            <w:pPr>
              <w:spacing w:before="200" w:line="36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5/25-6/12/18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(1 Week)</w:t>
            </w:r>
          </w:p>
          <w:p w:rsidR="00000000" w:rsidDel="00000000" w:rsidP="00000000" w:rsidRDefault="00000000" w:rsidRPr="00000000" w14:paraId="00000044">
            <w:pPr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Essential Question: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0"/>
                <w:sz w:val="20"/>
                <w:szCs w:val="20"/>
                <w:rtl w:val="0"/>
              </w:rPr>
              <w:t xml:space="preserve">What have I learned?  How have I changed?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45">
            <w:pPr>
              <w:spacing w:before="200" w:line="36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End of the Year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36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Onramp to next grade level.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contextualSpacing w:val="0"/>
        <w:jc w:val="center"/>
        <w:rPr>
          <w:rFonts w:ascii="Muli" w:cs="Muli" w:eastAsia="Muli" w:hAnsi="Muli"/>
          <w:color w:val="333333"/>
          <w:highlight w:val="white"/>
        </w:rPr>
      </w:pPr>
      <w:hyperlink r:id="rId6">
        <w:r w:rsidDel="00000000" w:rsidR="00000000" w:rsidRPr="00000000">
          <w:rPr>
            <w:rFonts w:ascii="Muli" w:cs="Muli" w:eastAsia="Muli" w:hAnsi="Muli"/>
            <w:color w:val="428bca"/>
            <w:highlight w:val="white"/>
            <w:u w:val="single"/>
            <w:rtl w:val="0"/>
          </w:rPr>
          <w:t xml:space="preserve">Kindergarten Dolch Sight Words</w:t>
        </w:r>
      </w:hyperlink>
      <w:r w:rsidDel="00000000" w:rsidR="00000000" w:rsidRPr="00000000">
        <w:rPr>
          <w:rFonts w:ascii="Muli" w:cs="Muli" w:eastAsia="Muli" w:hAnsi="Muli"/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Rule="auto"/>
        <w:contextualSpacing w:val="0"/>
        <w:rPr>
          <w:rFonts w:ascii="Muli" w:cs="Muli" w:eastAsia="Muli" w:hAnsi="Muli"/>
          <w:color w:val="333333"/>
          <w:highlight w:val="white"/>
        </w:rPr>
      </w:pPr>
      <w:r w:rsidDel="00000000" w:rsidR="00000000" w:rsidRPr="00000000">
        <w:rPr>
          <w:rFonts w:ascii="Muli" w:cs="Muli" w:eastAsia="Muli" w:hAnsi="Muli"/>
          <w:color w:val="333333"/>
          <w:highlight w:val="white"/>
          <w:rtl w:val="0"/>
        </w:rPr>
        <w:t xml:space="preserve">(52 words)</w:t>
      </w:r>
    </w:p>
    <w:p w:rsidR="00000000" w:rsidDel="00000000" w:rsidP="00000000" w:rsidRDefault="00000000" w:rsidRPr="00000000" w14:paraId="0000004C">
      <w:pPr>
        <w:contextualSpacing w:val="0"/>
        <w:rPr>
          <w:rFonts w:ascii="Muli" w:cs="Muli" w:eastAsia="Muli" w:hAnsi="Muli"/>
          <w:color w:val="333333"/>
          <w:highlight w:val="white"/>
        </w:rPr>
      </w:pPr>
      <w:r w:rsidDel="00000000" w:rsidR="00000000" w:rsidRPr="00000000">
        <w:rPr>
          <w:rFonts w:ascii="Muli" w:cs="Muli" w:eastAsia="Muli" w:hAnsi="Muli"/>
          <w:color w:val="333333"/>
          <w:highlight w:val="white"/>
          <w:rtl w:val="0"/>
        </w:rPr>
        <w:t xml:space="preserve">all, am, are, at, ate, be, black, brown, but, came, did, do, eat, four, get, good, have, he, into, like, must, new, no, now, on, our, out, please, pretty, ran, ride, saw, say, she, so, soon, that, there, they, this, too, under, want, was, well, went, what, white, who, will, with, yes</w:t>
      </w:r>
    </w:p>
    <w:p w:rsidR="00000000" w:rsidDel="00000000" w:rsidP="00000000" w:rsidRDefault="00000000" w:rsidRPr="00000000" w14:paraId="0000004D">
      <w:pPr>
        <w:spacing w:after="0" w:lineRule="auto"/>
        <w:contextualSpacing w:val="0"/>
        <w:jc w:val="center"/>
        <w:rPr>
          <w:rFonts w:ascii="Muli" w:cs="Muli" w:eastAsia="Muli" w:hAnsi="Muli"/>
        </w:rPr>
      </w:pPr>
      <w:hyperlink r:id="rId7">
        <w:r w:rsidDel="00000000" w:rsidR="00000000" w:rsidRPr="00000000">
          <w:rPr>
            <w:rFonts w:ascii="Muli" w:cs="Muli" w:eastAsia="Muli" w:hAnsi="Muli"/>
            <w:color w:val="1155cc"/>
            <w:u w:val="single"/>
            <w:rtl w:val="0"/>
          </w:rPr>
          <w:t xml:space="preserve">Marzano’s Vocabulary Words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</w:t>
      </w:r>
    </w:p>
    <w:tbl>
      <w:tblPr>
        <w:tblStyle w:val="Table2"/>
        <w:tblW w:w="98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0"/>
        <w:gridCol w:w="2460"/>
        <w:gridCol w:w="2460"/>
        <w:gridCol w:w="2460"/>
        <w:tblGridChange w:id="0">
          <w:tblGrid>
            <w:gridCol w:w="2460"/>
            <w:gridCol w:w="2460"/>
            <w:gridCol w:w="2460"/>
            <w:gridCol w:w="2460"/>
          </w:tblGrid>
        </w:tblGridChange>
      </w:tblGrid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ff1c1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ff1c1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Social Studies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ff1c1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Language Arts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ff1c1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Math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air</w:t>
            </w:r>
          </w:p>
        </w:tc>
        <w:tc>
          <w:tcPr>
            <w:tcBorders>
              <w:top w:color="f3f3f3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calendar</w:t>
            </w:r>
          </w:p>
        </w:tc>
        <w:tc>
          <w:tcPr>
            <w:tcBorders>
              <w:top w:color="f3f3f3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alphabet</w:t>
            </w:r>
          </w:p>
        </w:tc>
        <w:tc>
          <w:tcPr>
            <w:tcBorders>
              <w:top w:color="f3f3f3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alike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chore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back cover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balance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animal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communicate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book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behind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cover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below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different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fairness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between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Earth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flag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calendar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globe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front cover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group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circle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clock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light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holiday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magazine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coin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liquid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job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movie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corner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lake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newspaper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counting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magnet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language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alphabet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day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back cover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dime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book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equal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night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cover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graph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nonliving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mountain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inside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observe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neighborhood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minute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pictograph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front cover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near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pulling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nickel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pushing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number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safety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magazine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pattern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shadow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season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movie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penny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symbol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newspaper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rectangle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solid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today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shape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sound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tomorrow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square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tool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triangle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transportation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week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thermometer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weather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whole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weather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yesterday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zero</w:t>
            </w:r>
          </w:p>
        </w:tc>
      </w:tr>
    </w:tbl>
    <w:p w:rsidR="00000000" w:rsidDel="00000000" w:rsidP="00000000" w:rsidRDefault="00000000" w:rsidRPr="00000000" w14:paraId="000000CB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contextualSpacing w:val="0"/>
        <w:rPr>
          <w:rFonts w:ascii="Muli" w:cs="Muli" w:eastAsia="Muli" w:hAnsi="Muli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Suggested Assessments: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Muli" w:cs="Muli" w:eastAsia="Muli" w:hAnsi="Muli"/>
          <w:sz w:val="20"/>
          <w:szCs w:val="20"/>
          <w:u w:val="none"/>
        </w:rPr>
      </w:pPr>
      <w:hyperlink r:id="rId8">
        <w:r w:rsidDel="00000000" w:rsidR="00000000" w:rsidRPr="00000000">
          <w:rPr>
            <w:rFonts w:ascii="Muli" w:cs="Muli" w:eastAsia="Muli" w:hAnsi="Muli"/>
            <w:color w:val="1155cc"/>
            <w:sz w:val="20"/>
            <w:szCs w:val="20"/>
            <w:u w:val="single"/>
            <w:rtl w:val="0"/>
          </w:rPr>
          <w:t xml:space="preserve">Springs Kindergarten 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DIBELS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hyperlink r:id="rId9">
        <w:r w:rsidDel="00000000" w:rsidR="00000000" w:rsidRPr="00000000">
          <w:rPr>
            <w:rFonts w:ascii="Muli" w:cs="Muli" w:eastAsia="Muli" w:hAnsi="Muli"/>
            <w:color w:val="0000ff"/>
            <w:sz w:val="20"/>
            <w:szCs w:val="20"/>
            <w:u w:val="single"/>
            <w:rtl w:val="0"/>
          </w:rPr>
          <w:t xml:space="preserve">Reading a-z Running Records</w:t>
        </w:r>
      </w:hyperlink>
      <w:r w:rsidDel="00000000" w:rsidR="00000000" w:rsidRPr="00000000">
        <w:fldChar w:fldCharType="begin"/>
        <w:instrText xml:space="preserve"> HYPERLINK "https://www.readinga-z.com/helpful-tools/about-running-records/"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Phonics Inventory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Writing Prompt</w:t>
      </w:r>
    </w:p>
    <w:p w:rsidR="00000000" w:rsidDel="00000000" w:rsidP="00000000" w:rsidRDefault="00000000" w:rsidRPr="00000000" w14:paraId="000000D3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24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contextualSpacing w:val="0"/>
        <w:jc w:val="center"/>
        <w:rPr>
          <w:rFonts w:ascii="Muli" w:cs="Muli" w:eastAsia="Muli" w:hAnsi="Muli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sz w:val="24"/>
          <w:szCs w:val="24"/>
          <w:rtl w:val="0"/>
        </w:rPr>
        <w:t xml:space="preserve">Kindergarten I CAN!s and CAN I?s</w:t>
      </w:r>
    </w:p>
    <w:p w:rsidR="00000000" w:rsidDel="00000000" w:rsidP="00000000" w:rsidRDefault="00000000" w:rsidRPr="00000000" w14:paraId="000000D7">
      <w:pPr>
        <w:widowControl w:val="0"/>
        <w:spacing w:line="240" w:lineRule="auto"/>
        <w:contextualSpacing w:val="0"/>
        <w:jc w:val="center"/>
        <w:rPr>
          <w:rFonts w:ascii="Muli" w:cs="Muli" w:eastAsia="Muli" w:hAnsi="Mul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140"/>
        <w:gridCol w:w="1890"/>
        <w:gridCol w:w="6735"/>
        <w:tblGridChange w:id="0">
          <w:tblGrid>
            <w:gridCol w:w="540"/>
            <w:gridCol w:w="1140"/>
            <w:gridCol w:w="1890"/>
            <w:gridCol w:w="6735"/>
          </w:tblGrid>
        </w:tblGridChange>
      </w:tblGrid>
      <w:tr>
        <w:tc>
          <w:tcPr>
            <w:shd w:fill="ff1c1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1c1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Standards</w:t>
            </w:r>
          </w:p>
        </w:tc>
        <w:tc>
          <w:tcPr>
            <w:shd w:fill="ff1c1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CAN!s</w:t>
            </w:r>
          </w:p>
        </w:tc>
        <w:tc>
          <w:tcPr>
            <w:shd w:fill="ff1c1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Can I?s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Themes: Teacher directed thematic units.  These units can be scaffolded to reach the individual learning needs of each student in a class.  </w:t>
            </w:r>
          </w:p>
        </w:tc>
      </w:tr>
      <w:tr>
        <w:trPr>
          <w:trHeight w:val="3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Reading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k.1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Key Ideas &amp; Details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k.1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k.2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k.3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Integration of Knowledge &amp; Ideas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k.7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k.8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k.9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k.10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030303"/>
                <w:sz w:val="16"/>
                <w:szCs w:val="16"/>
                <w:rtl w:val="0"/>
              </w:rPr>
              <w:t xml:space="preserve"> read kindergarten books.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ask and answer questions about key details in a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retell familiar stories, including key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CAN I?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identify characters, settings, and major events in a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CAN I?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describe the relationship between illustrations and the story in which they appear (e.g., what moment in a story an illustration depicts).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compare and contrast the adventures and experiences of characters in familiar stories.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f) CAN I? Actively engage in group reading activities with purpose and understanding.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k.2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Craft &amp; Structure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k.4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k.5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RL k.6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talk about the story or poem I’m reading.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CAN I? Ask and answer questions about unknown words in a text.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CAN I? Recognize common types of texts (e.g., storybooks, poems).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CAN I? With prompting and support, name the author and illustrator of a story and define the role of each in telling the story.</w:t>
            </w:r>
          </w:p>
        </w:tc>
      </w:tr>
      <w:tr>
        <w:trPr>
          <w:trHeight w:val="26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Reading Informational Text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k.3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Key Ideas &amp; Details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k.1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k.2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k.3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Integration of Knowledge &amp; Ideas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k.7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k.8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k.9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k.10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read kindergarten informational books.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373737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ask and answer questions about key details in a text.</w:t>
            </w:r>
            <w:r w:rsidDel="00000000" w:rsidR="00000000" w:rsidRPr="00000000">
              <w:fldChar w:fldCharType="begin"/>
              <w:instrText xml:space="preserve"> HYPERLINK "http://www.corestandards.org/ELA-Literacy/RI/K/2/"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373737"/>
                <w:sz w:val="16"/>
                <w:szCs w:val="16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identify the main topic and retell key details of a text.</w:t>
            </w:r>
            <w:r w:rsidDel="00000000" w:rsidR="00000000" w:rsidRPr="00000000">
              <w:fldChar w:fldCharType="begin"/>
              <w:instrText xml:space="preserve"> HYPERLINK "http://www.corestandards.org/ELA-Literacy/RI/K/3/"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373737"/>
                <w:sz w:val="16"/>
                <w:szCs w:val="16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describe the connection between two individuals, events, ideas, or pieces of information in a text.</w:t>
            </w:r>
            <w:r w:rsidDel="00000000" w:rsidR="00000000" w:rsidRPr="00000000">
              <w:fldChar w:fldCharType="begin"/>
              <w:instrText xml:space="preserve"> HYPERLINK "http://www.corestandards.org/ELA-Literacy/RI/K/7/"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373737"/>
                <w:sz w:val="16"/>
                <w:szCs w:val="16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describe the relationship between illustrations and the text in which they appear (e.g., what person, place, thing, or idea in the text an illustration depicts).</w:t>
            </w:r>
            <w:r w:rsidDel="00000000" w:rsidR="00000000" w:rsidRPr="00000000">
              <w:fldChar w:fldCharType="begin"/>
              <w:instrText xml:space="preserve"> HYPERLINK "http://www.corestandards.org/ELA-Literacy/RI/K/8/"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373737"/>
                <w:sz w:val="16"/>
                <w:szCs w:val="16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identify the reasons an author gives to support points in a text.</w:t>
            </w:r>
            <w:r w:rsidDel="00000000" w:rsidR="00000000" w:rsidRPr="00000000">
              <w:fldChar w:fldCharType="begin"/>
              <w:instrText xml:space="preserve"> HYPERLINK "http://www.corestandards.org/ELA-Literacy/RI/K/9/"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373737"/>
                <w:sz w:val="16"/>
                <w:szCs w:val="16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identify basic similarities in and differences between two texts on the same topic (e.g., in illustrations, descriptions, or procedures).</w:t>
            </w:r>
            <w:r w:rsidDel="00000000" w:rsidR="00000000" w:rsidRPr="00000000">
              <w:fldChar w:fldCharType="begin"/>
              <w:instrText xml:space="preserve"> HYPERLINK "http://www.corestandards.org/ELA-Literacy/RI/K/10/"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030303"/>
                <w:sz w:val="16"/>
                <w:szCs w:val="16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g)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Actively engage in group reading activities with purpose and understanding.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k.4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Craft &amp; Structure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k.4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k.5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RI k.6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text features to read kindergarten informational text.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With prompting and support, ask and answer questions about unknown words in a text.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Identify the front cover, back cover, and title page of a book.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03030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Name the author and illustrator of a text and define the role of each in presenting the ideas or information in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Writing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k.5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write for different tasks.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Use a combination of drawing, dictating, and writing to compose opinion pieces in which they tell a reader the topic or the name of the book they are writing about and state an opinion or preference about the topic or book (e.g., My favorite book is . . 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before="0" w:line="240" w:lineRule="auto"/>
              <w:ind w:left="60" w:hanging="15"/>
              <w:contextualSpacing w:val="0"/>
              <w:rPr>
                <w:rFonts w:ascii="Muli" w:cs="Muli" w:eastAsia="Muli" w:hAnsi="Muli"/>
                <w:color w:val="03030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Use a combination of drawing, dictating, and writing to compose informative/explanatory texts in which they name what they are writing about and supply some information about the topic.</w:t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Use a combination of drawing, dictating, and writing to narrate a single event or several loosely linked events, tell about the events in the order in which they occurred, and provide a reaction to what happened.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k.6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Production and Distribution of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Add details to my writing with help.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With guidance and support from adults, respond to questions and suggestions from peers and add details to strengthen writing as needed.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?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With guidance and support from adults, explore a variety of digital tools to produce and publish writing, including in collaboration with peers.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ab/>
            </w:r>
          </w:p>
        </w:tc>
      </w:tr>
      <w:tr>
        <w:trPr>
          <w:trHeight w:val="3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Speaking and Listening</w:t>
            </w:r>
          </w:p>
        </w:tc>
      </w:tr>
      <w:tr>
        <w:trPr>
          <w:trHeight w:val="156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k.7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Comprehen-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sion &amp;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talk with others about kindergarten topics.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Participate in conversations with diverse partners about kindergarten topics and texts with peers and adults in small and larger groups.</w:t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Listen to others and take turns speaking about the topics and texts under discussion.</w:t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Continue a conversation through multiple exchanges. </w:t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Ask and answer questions to get help or information presented orally if something is not understood.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k.8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Presentation &amp; Knowledge of Ideas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Present my work and ideas.</w:t>
            </w:r>
          </w:p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(formerly follow 2 step directions)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Ask and answer questions in order to seek help, get information, or clarify something that is not understood.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Describe familiar people, places, things, and events and, with prompting and support, provide additional detail. 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Add drawings or other visual displays to descriptions as desired to provide additional detail.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Speak audibly and express thoughts, feelings, and ideas clearly.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Language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k.9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word clues to understand new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Determine or clarify the meaning of unknown and multiple-meaning words and phrases based on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kindergarten reading and content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 Identify new meanings for familiar words and apply them accurately (e.g., knowing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duck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is a bird and learning the verb to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duck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the most frequently occurring inflections and affixes (e.g.,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-ed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-s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re-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un-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pre-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-ful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-less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 as a clue to the meaning of an unknown word. 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k.10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sort words and their opposites with help.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Sort common objects into categories (e.g., shapes, foods) to gain a sense of the concepts the categories represent.</w:t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Demonstrate understanding of frequently occurring verbs and adjectives by relating them to their opposites (antonyms).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k.11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030303"/>
                <w:sz w:val="16"/>
                <w:szCs w:val="16"/>
                <w:rtl w:val="0"/>
              </w:rPr>
              <w:t xml:space="preserve">use words and phrases I’ve learned.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Identify real-life connections between words and their use (e.g., note places at school that are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colorful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20202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Distinguish shades of meaning among verbs describing the same general action (e.g.,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walk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march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strut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prance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 by acting out the meanings.</w:t>
            </w:r>
          </w:p>
        </w:tc>
      </w:tr>
      <w:tr>
        <w:trPr>
          <w:trHeight w:val="420" w:hRule="atLeast"/>
        </w:trPr>
        <w:tc>
          <w:tcPr>
            <w:gridSpan w:val="4"/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Steps: Student driven mastery learning skills. </w:t>
            </w:r>
          </w:p>
        </w:tc>
      </w:tr>
      <w:tr>
        <w:trPr>
          <w:trHeight w:val="280" w:hRule="atLeast"/>
        </w:trPr>
        <w:tc>
          <w:tcPr>
            <w:gridSpan w:val="4"/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Reading Foundational Skills</w:t>
            </w:r>
          </w:p>
        </w:tc>
      </w:tr>
      <w:tr>
        <w:trPr>
          <w:trHeight w:val="1120" w:hRule="atLeast"/>
        </w:trPr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k.12</w:t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Print Concepts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name the letters and understand how print works.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Follow words from left to right, top to bottom, and page by page.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Recognize that spoken words are represented in written language by specific sequences of letters.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Understand that words are separated by spaces in print.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Recognize and name all upper- and lowercase letters of the alphabet.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k.13</w:t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Phonemic Awareness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Phonemes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blend sounds into words.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Recognize and produce rhyming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Count, pronounce, blend, and segment syllables in spoken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Blend and segment onsets and rimes of single-syllable spoken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03030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Blend two to three phonemes into recognizable words.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 Isolate and pronounce the initial, medial vowel, and final sounds (phonemes) in three-phoneme (consonant-vowel-consonant, or CVC) words.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030303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 (This does not include CVCs ending with /l/, /r/, or /x/.)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030303"/>
                <w:sz w:val="16"/>
                <w:szCs w:val="16"/>
                <w:rtl w:val="0"/>
              </w:rPr>
              <w:t xml:space="preserve">*Words, syllables, or phonemes written in /slashes/ refer to their pronunciation or phonology. Thus, /CVC/ is a word with three phonemes regardless of the number of letters in the spelling of the word.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k.14</w:t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sound out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Demonstrate basic knowledge of one-to-one letter-sound correspondences by producing the primary or many of the most frequent sound for each consonant.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Associate the long and short sounds with common spellings (graphemes) for the five major vowels.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030303"/>
                <w:sz w:val="16"/>
                <w:szCs w:val="16"/>
                <w:rtl w:val="0"/>
              </w:rPr>
              <w:t xml:space="preserve">*Identify which letters represent the five major vowels (Aa, Ee, Ii, Oo, and Uu) and know the long and short sound of each vowel.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Read common high-frequency words by sight (e.g., the, of, to, you, she, my, is, are, do, does).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Distinguish between similarly spelled words by identifying the sounds of the letters that differ.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k.15</w:t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read my kindergarten books.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hyperlink r:id="rId10">
              <w:r w:rsidDel="00000000" w:rsidR="00000000" w:rsidRPr="00000000">
                <w:rPr>
                  <w:rFonts w:ascii="Muli" w:cs="Muli" w:eastAsia="Muli" w:hAnsi="Muli"/>
                  <w:sz w:val="16"/>
                  <w:szCs w:val="16"/>
                  <w:rtl w:val="0"/>
                </w:rPr>
                <w:t xml:space="preserve">Read </w:t>
              </w:r>
            </w:hyperlink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emergent-reader texts with purpose and understanding.</w:t>
            </w:r>
          </w:p>
        </w:tc>
      </w:tr>
      <w:tr>
        <w:trPr>
          <w:trHeight w:val="180" w:hRule="atLeast"/>
        </w:trPr>
        <w:tc>
          <w:tcPr>
            <w:gridSpan w:val="4"/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Language</w:t>
            </w:r>
          </w:p>
        </w:tc>
      </w:tr>
      <w:tr>
        <w:trPr>
          <w:trHeight w:val="420" w:hRule="atLeast"/>
        </w:trPr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k.16</w:t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Conventions of Standard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correct grammar.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Print many upper- and lowercase letters.</w:t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frequently occurring nouns and verbs.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Form regular plural nouns orally by adding /s/ or /es/ (e.g.,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dog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dogs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;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wish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wishes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Understand and use question words (interrogatives) (e.g.,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who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what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where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when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how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 Use the most frequently occurring prepositions (e.g.,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to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from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in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out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off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for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of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by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u w:val="single"/>
                <w:rtl w:val="0"/>
              </w:rPr>
              <w:t xml:space="preserve">with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f) Produce and expand complete sentences in shared language activities.</w:t>
            </w:r>
          </w:p>
        </w:tc>
      </w:tr>
      <w:tr>
        <w:trPr>
          <w:trHeight w:val="420" w:hRule="atLeast"/>
        </w:trPr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sz w:val="14"/>
                <w:szCs w:val="14"/>
                <w:rtl w:val="0"/>
              </w:rPr>
              <w:t xml:space="preserve">k.17</w:t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4"/>
                <w:szCs w:val="1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4"/>
                <w:szCs w:val="14"/>
                <w:rtl w:val="0"/>
              </w:rPr>
              <w:t xml:space="preserve">Conventions of Standard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letter sounds, capitals, and punctuation when I write.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f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Capitalize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 the first word in a sentence and the pronoun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Recognize and name end punctuation.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03030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20202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Write a letter or letters for most consonant and short-vowel sounds (phonemes).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03030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030303"/>
                <w:sz w:val="16"/>
                <w:szCs w:val="16"/>
                <w:rtl w:val="0"/>
              </w:rPr>
              <w:t xml:space="preserve">d) CAN I? Spell simple words phonetically, drawing on knowledge of sound-letter relationships.</w:t>
            </w:r>
          </w:p>
        </w:tc>
      </w:tr>
    </w:tbl>
    <w:p w:rsidR="00000000" w:rsidDel="00000000" w:rsidP="00000000" w:rsidRDefault="00000000" w:rsidRPr="00000000" w14:paraId="000001A7">
      <w:pPr>
        <w:spacing w:after="0" w:before="0" w:line="240" w:lineRule="auto"/>
        <w:contextualSpacing w:val="0"/>
        <w:rPr>
          <w:rFonts w:ascii="Muli" w:cs="Muli" w:eastAsia="Muli" w:hAnsi="Mul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720" w:top="720" w:left="1008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2600325</wp:posOffset>
          </wp:positionH>
          <wp:positionV relativeFrom="paragraph">
            <wp:posOffset>57150</wp:posOffset>
          </wp:positionV>
          <wp:extent cx="1644939" cy="39052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  <w:contextualSpacing w:val="0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  <w:contextualSpacing w:val="0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  <w:contextualSpacing w:val="0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  <w:contextualSpacing w:val="0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  <w:contextualSpacing w:val="0"/>
    </w:pPr>
    <w:rPr>
      <w:rFonts w:ascii="Cambria" w:cs="Cambria" w:eastAsia="Cambria" w:hAnsi="Cambria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rPr/>
      <w:tcPr>
        <w:shd w:fill="e6eed5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rPr/>
      <w:tcPr>
        <w:shd w:fill="e6eed5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mydigitalchalkboard.org/portal/default/Standards/Browser?action=2&amp;view=level&amp;id=14191" TargetMode="External"/><Relationship Id="rId9" Type="http://schemas.openxmlformats.org/officeDocument/2006/relationships/hyperlink" Target="https://www.readinga-z.com/helpful-tools/about-running-records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ightwords.com/pdfs/word_lists/dolch_kindergarten.pdf" TargetMode="External"/><Relationship Id="rId7" Type="http://schemas.openxmlformats.org/officeDocument/2006/relationships/hyperlink" Target="https://docs.google.com/spreadsheets/d/14PoUYP0juwCPl_1Nsb8obI45mMQ_0ne31qbYavhHDGU/edit#gid=1582164689" TargetMode="External"/><Relationship Id="rId8" Type="http://schemas.openxmlformats.org/officeDocument/2006/relationships/hyperlink" Target="https://drive.google.com/drive/u/0/search?q=kinder%20assessm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